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A0" w:rsidRPr="009908D7" w:rsidRDefault="00657BA0" w:rsidP="009908D7">
      <w:pPr>
        <w:pStyle w:val="Ttulo1"/>
        <w:spacing w:before="0" w:line="240" w:lineRule="auto"/>
        <w:rPr>
          <w:rStyle w:val="Textoennegrita"/>
          <w:rFonts w:ascii="Segoe UI" w:hAnsi="Segoe UI" w:cs="Segoe UI"/>
          <w:bCs w:val="0"/>
          <w:i/>
          <w:color w:val="000000" w:themeColor="text1"/>
          <w:sz w:val="24"/>
          <w:szCs w:val="20"/>
          <w:lang w:val="es-ES_tradnl"/>
        </w:rPr>
      </w:pPr>
      <w:bookmarkStart w:id="0" w:name="_Toc436654269"/>
      <w:bookmarkStart w:id="1" w:name="_Toc462740688"/>
      <w:bookmarkStart w:id="2" w:name="_Toc148431737"/>
      <w:r w:rsidRPr="009908D7">
        <w:rPr>
          <w:rStyle w:val="Textoennegrita"/>
          <w:rFonts w:ascii="Segoe UI" w:hAnsi="Segoe UI" w:cs="Segoe UI"/>
          <w:bCs w:val="0"/>
          <w:color w:val="000000" w:themeColor="text1"/>
          <w:sz w:val="24"/>
          <w:szCs w:val="20"/>
          <w:lang w:val="es-ES_tradnl"/>
        </w:rPr>
        <w:t>CRB8X: CANTABRICO (Norte de España) Y GALICIA 10 Días</w:t>
      </w:r>
      <w:bookmarkEnd w:id="0"/>
      <w:bookmarkEnd w:id="1"/>
      <w:bookmarkEnd w:id="2"/>
    </w:p>
    <w:p w:rsidR="00657BA0" w:rsidRPr="009908D7" w:rsidRDefault="00657BA0" w:rsidP="009908D7">
      <w:pPr>
        <w:jc w:val="center"/>
        <w:rPr>
          <w:rStyle w:val="Textoennegrita"/>
          <w:rFonts w:ascii="Segoe UI" w:hAnsi="Segoe UI" w:cs="Segoe UI"/>
          <w:b w:val="0"/>
          <w:color w:val="000000" w:themeColor="text1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color w:val="000000" w:themeColor="text1"/>
          <w:szCs w:val="20"/>
          <w:lang w:val="es-ES_tradnl"/>
        </w:rPr>
        <w:t>Salida desde Madrid (sin estancia en Madrid)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color w:val="000000" w:themeColor="text1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9"/>
        <w:gridCol w:w="3238"/>
        <w:gridCol w:w="3199"/>
      </w:tblGrid>
      <w:tr w:rsidR="00657BA0" w:rsidRPr="009908D7" w:rsidTr="00804E7B">
        <w:trPr>
          <w:trHeight w:val="315"/>
        </w:trPr>
        <w:tc>
          <w:tcPr>
            <w:tcW w:w="1919" w:type="pct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3081" w:type="pct"/>
            <w:gridSpan w:val="2"/>
            <w:tcBorders>
              <w:top w:val="single" w:sz="8" w:space="0" w:color="C5E0B3"/>
              <w:left w:val="nil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SUPERIOR PLUS “A”</w:t>
            </w:r>
          </w:p>
        </w:tc>
      </w:tr>
      <w:tr w:rsidR="00657BA0" w:rsidRPr="009908D7" w:rsidTr="00804E7B">
        <w:trPr>
          <w:trHeight w:val="330"/>
        </w:trPr>
        <w:tc>
          <w:tcPr>
            <w:tcW w:w="1919" w:type="pct"/>
            <w:vMerge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Doble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color w:val="385623"/>
                <w:sz w:val="20"/>
                <w:szCs w:val="20"/>
                <w:lang w:val="es-ES_tradnl"/>
              </w:rPr>
              <w:t>Habitación Single</w:t>
            </w:r>
          </w:p>
        </w:tc>
      </w:tr>
      <w:tr w:rsidR="00657BA0" w:rsidRPr="009908D7" w:rsidTr="00804E7B">
        <w:trPr>
          <w:trHeight w:val="441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 2024 – Mayo 2024 &amp; Octubre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1495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2160</w:t>
            </w:r>
          </w:p>
        </w:tc>
      </w:tr>
      <w:tr w:rsidR="00657BA0" w:rsidRPr="009908D7" w:rsidTr="00804E7B">
        <w:trPr>
          <w:trHeight w:val="40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Junio 2024 &amp; Septiembre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1580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2245</w:t>
            </w:r>
          </w:p>
        </w:tc>
      </w:tr>
      <w:tr w:rsidR="00657BA0" w:rsidRPr="009908D7" w:rsidTr="00804E7B">
        <w:trPr>
          <w:trHeight w:val="300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Julio 2024-  Agosto 2024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1685</w:t>
            </w:r>
          </w:p>
        </w:tc>
        <w:tc>
          <w:tcPr>
            <w:tcW w:w="15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2345</w:t>
            </w:r>
          </w:p>
        </w:tc>
      </w:tr>
      <w:tr w:rsidR="00657BA0" w:rsidRPr="009908D7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SUPLEMENTO SALIDA</w:t>
            </w:r>
          </w:p>
        </w:tc>
        <w:tc>
          <w:tcPr>
            <w:tcW w:w="3081" w:type="pct"/>
            <w:gridSpan w:val="2"/>
            <w:tcBorders>
              <w:top w:val="single" w:sz="8" w:space="0" w:color="C5E0B3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</w:tc>
      </w:tr>
      <w:tr w:rsidR="00657BA0" w:rsidRPr="009908D7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Abril: 23, 30</w:t>
            </w:r>
          </w:p>
        </w:tc>
        <w:tc>
          <w:tcPr>
            <w:tcW w:w="3081" w:type="pct"/>
            <w:gridSpan w:val="2"/>
            <w:vMerge w:val="restart"/>
            <w:tcBorders>
              <w:top w:val="single" w:sz="8" w:space="0" w:color="C5E0B3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125</w:t>
            </w:r>
          </w:p>
        </w:tc>
      </w:tr>
      <w:tr w:rsidR="00657BA0" w:rsidRPr="009908D7" w:rsidTr="00804E7B">
        <w:trPr>
          <w:trHeight w:val="315"/>
        </w:trPr>
        <w:tc>
          <w:tcPr>
            <w:tcW w:w="1919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Agosto: 13</w:t>
            </w:r>
          </w:p>
        </w:tc>
        <w:tc>
          <w:tcPr>
            <w:tcW w:w="3081" w:type="pct"/>
            <w:gridSpan w:val="2"/>
            <w:vMerge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>(*) Tasa Turística Local de Oporto no incluida, a abonar directamente en el hotel.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Cs w:val="0"/>
          <w:i/>
          <w:color w:val="008000"/>
          <w:sz w:val="20"/>
          <w:szCs w:val="20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7"/>
        <w:gridCol w:w="2827"/>
        <w:gridCol w:w="2363"/>
        <w:gridCol w:w="2829"/>
      </w:tblGrid>
      <w:tr w:rsidR="00657BA0" w:rsidRPr="009908D7" w:rsidTr="00804E7B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C5E0B3"/>
              <w:left w:val="single" w:sz="8" w:space="0" w:color="C5E0B3"/>
              <w:bottom w:val="single" w:sz="12" w:space="0" w:color="A8D08D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SALIDAS GARANTIZADAS LOS MARTES:</w:t>
            </w:r>
          </w:p>
        </w:tc>
      </w:tr>
      <w:tr w:rsidR="00657BA0" w:rsidRPr="009908D7" w:rsidTr="00804E7B">
        <w:trPr>
          <w:trHeight w:val="330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Abril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Octubre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01, 08, 15, 22 &amp; 29</w:t>
            </w:r>
          </w:p>
        </w:tc>
      </w:tr>
      <w:tr w:rsidR="00657BA0" w:rsidRPr="009908D7" w:rsidTr="00804E7B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Mayo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07, 14, 21 &amp; 28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Noviembre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657BA0" w:rsidRPr="009908D7" w:rsidTr="00804E7B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Junio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04, 11, 18 &amp; 25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Diciembre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657BA0" w:rsidRPr="009908D7" w:rsidTr="00804E7B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Julio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02, 09, 16, 23 &amp; 30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Enero '25: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657BA0" w:rsidRPr="009908D7" w:rsidTr="00804E7B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Agosto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06, 13, 20 &amp; 27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Febrero '25: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  <w:tr w:rsidR="00657BA0" w:rsidRPr="009908D7" w:rsidTr="00804E7B">
        <w:trPr>
          <w:trHeight w:val="315"/>
        </w:trPr>
        <w:tc>
          <w:tcPr>
            <w:tcW w:w="1162" w:type="pct"/>
            <w:tcBorders>
              <w:top w:val="nil"/>
              <w:left w:val="single" w:sz="8" w:space="0" w:color="C5E0B3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Septiembre '24: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03, 10, 17 &amp; 24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Marzo '25:</w:t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C5E0B3"/>
              <w:right w:val="single" w:sz="8" w:space="0" w:color="C5E0B3"/>
            </w:tcBorders>
            <w:shd w:val="clear" w:color="auto" w:fill="auto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-</w:t>
            </w:r>
          </w:p>
        </w:tc>
      </w:tr>
    </w:tbl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bCs w:val="0"/>
          <w:i/>
          <w:color w:val="008000"/>
          <w:sz w:val="20"/>
          <w:szCs w:val="20"/>
          <w:lang w:val="es-ES_tradnl"/>
        </w:rPr>
      </w:pPr>
      <w:bookmarkStart w:id="3" w:name="_GoBack"/>
      <w:bookmarkEnd w:id="3"/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color w:val="385623" w:themeColor="accent6" w:themeShade="80"/>
          <w:sz w:val="20"/>
          <w:szCs w:val="20"/>
          <w:lang w:val="es-ES_tradnl"/>
        </w:rPr>
        <w:t xml:space="preserve">INCLUSIONES: </w:t>
      </w:r>
      <w:r w:rsidRPr="009908D7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 xml:space="preserve">Visitas en Santiago (con entrada a la Catedral) y Oporto </w:t>
      </w:r>
      <w:r w:rsidRPr="009908D7">
        <w:rPr>
          <w:rFonts w:ascii="Segoe UI" w:hAnsi="Segoe UI" w:cs="Segoe UI"/>
          <w:sz w:val="20"/>
          <w:szCs w:val="20"/>
          <w:lang w:val="es-ES_tradnl"/>
        </w:rPr>
        <w:t xml:space="preserve">(con crucero por el Duero y cata de vino) </w:t>
      </w:r>
      <w:r w:rsidRPr="009908D7">
        <w:rPr>
          <w:rStyle w:val="Textoennegrita"/>
          <w:rFonts w:ascii="Segoe UI" w:hAnsi="Segoe UI" w:cs="Segoe UI"/>
          <w:color w:val="000000" w:themeColor="text1"/>
          <w:sz w:val="20"/>
          <w:szCs w:val="20"/>
          <w:lang w:val="es-ES_tradnl"/>
        </w:rPr>
        <w:t>/ Asistencia de guía acompañante durante el circuito / Transporte en autobús de lujo con aire acondicionado / Alojamiento en la clase seleccionada y desayuno diario / Seguro de viaje.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bCs w:val="0"/>
          <w:color w:val="000000" w:themeColor="text1"/>
          <w:sz w:val="20"/>
          <w:szCs w:val="20"/>
          <w:lang w:val="es-ES_tradnl"/>
        </w:rPr>
      </w:pP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1º Día (Mar.) MADRID – ZARAGOZA – SAN SEBASTIAN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eastAsia="Arial Unicode MS" w:hAnsi="Segoe UI" w:cs="Segoe UI"/>
          <w:b w:val="0"/>
          <w:color w:val="000000" w:themeColor="text1"/>
          <w:sz w:val="20"/>
          <w:szCs w:val="20"/>
          <w:lang w:val="es-ES_tradnl"/>
        </w:rPr>
        <w:t>La salida se realizará desde nuestros hoteles programados en Madrid. Por favor revise su documentación para más detalles sobre la recogida. Salida</w:t>
      </w:r>
      <w:r w:rsidRPr="009908D7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con dirección a Zaragoza. Tiempo libre para poder visitar la Basílica de la Virgen del Pilar, patrona de la Hispanidad y recorrer su casco antiguo. Por la tarde, continuación a San Sebastián, uno de los más famosos destinos turísticos de España y conocida mundialmente por su Festival Internacional de Cine. Alojamiento.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2º Día (Mie.) SAN SEBASTIAN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Recorrido panorámico de esta ciudad de corte francés y aburguesado cuyo paisaje está dominado por la Bahía y Playa de La Concha. Subiremos hacia el Monte Igueldo, desde donde se podrá contemplar una magnífica vista de la ciudad. Resto del día libre.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Por la tarde, posibilidad de realizar una visita opcional a los pintorescos pueblecitos de Biarritz y San Juan de Luz, ya en territorio francés. Alojamiento en el hotel.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3º Día (Jue.) SAN SEBASTIAN – BILBAO – CASTRO URDIALES – SANTANDER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bCs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a Bilbao para realizar un recorrido panorámico y donde dispondremos de tiempo libre en la explanada del Museo Guggenheim para poder admirar esta moderna obra de arquitectura. Proseguiremos con dirección a Castro Urdiales, típico pueblo pesquero en donde dispondremos de tiempo libre. Salida hacia Santander, ciudad portuaria enclavada entre el mar y la montaña y que cuenta con numerosas playas, como la de El Sardinero, una de las más conocidas. Dispondremos de tiempo libre para pasear por esta elegante ciudad. Alojamiento.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4º Día (Vie.) SANTANDER – SANTILLANA – COVADONGA – OVIEDO</w:t>
      </w:r>
    </w:p>
    <w:p w:rsidR="00657BA0" w:rsidRPr="009908D7" w:rsidRDefault="00657BA0" w:rsidP="009908D7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Desayuno. Salida hacia Santillana, una de las localidades de mayor valor histórico y artístico de España, que alberga verdaderos tesoros arquitectónicos, como la Colegiata de Santa Juliana, la joya más importante del románico en Cantabria. Continuación a Covadonga, donde dispondremos de tiempo libre para visitar el Santuario y la gruta con la imagen de la Virgen.  Por la tarde salida hacia Oviedo, asentada sobre una serie de colinas al pie del Naranco y que </w:t>
      </w: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lastRenderedPageBreak/>
        <w:t>destaca por la belleza de sus calles, muchas de ellas peatonales. Sus monumentos son Patrimonio de la Humanidad y entre ellos destaca la Catedral, una de las obras más importantes del gótico asturiano. Alojamiento.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5º Día (Sáb.) OVIEDO – MONDOÑEDO – LUGO – SANTIAGO DE COMPOSTELA</w:t>
      </w:r>
    </w:p>
    <w:p w:rsidR="00657BA0" w:rsidRPr="009908D7" w:rsidRDefault="00657BA0" w:rsidP="009908D7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y salida con dirección a la región gallega. De camino a Lugo, parada en Mondoñedo; tiempo libre para visitar su imponente catedral del s XII y probar el la deliciosa “Tarta de Mondoñedo”. Salida hacia Lugo y tiempo libre para poder contemplar los vestigios romanos que aún conserva como sus murallas, declaradas Patrimonio de la Humanidad. Continuación a Santiago de Compostela, cuya ciudad antigua es Patrimonio de la Humanidad, y uno de los más importantes núcleos monumentales de España, centro de peregrinación cristiana y final del Camino de Santiago, originariamente construida por el imperio romano.  Alojamiento.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6º Día (Dom.) SANTIAGO DE COMPOSTELA</w:t>
      </w:r>
    </w:p>
    <w:p w:rsidR="00657BA0" w:rsidRPr="009908D7" w:rsidRDefault="00657BA0" w:rsidP="009908D7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Visita de Santiago ciudad recorriendo la Plaza del Obradoiro, y su Catedral (visita interior) dedicada al Apóstol Santiago el Mayor. Resto del día libre para continuar visitando esta ciudad de ambiente universitario y estudiantil.  Alojamiento.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7º Día (Lun.) SANTIAGO DE COMPOSTELA – RIAS BAJAS – OPORTO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 Salida hacia la zona más pintoresca de las Rías Bajas gallegas (fiordos españoles).</w:t>
      </w: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</w:t>
      </w:r>
      <w:r w:rsidRPr="009908D7">
        <w:rPr>
          <w:rFonts w:ascii="Segoe UI" w:eastAsiaTheme="minorHAnsi" w:hAnsi="Segoe UI" w:cs="Segoe UI"/>
          <w:sz w:val="20"/>
          <w:szCs w:val="20"/>
          <w:lang w:val="es-ES_tradnl" w:eastAsia="en-US"/>
        </w:rPr>
        <w:t>A través de espléndidos paisajes, llegaremos a la isla de La Toja, universalmente conocida por su balneario y riqueza natural. Tiempo libre y continuación por la ría de Arosa de camino a Portugal.  Llegada a Oporto y alojamiento.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bCs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8º Día (Mar.) OPORTO </w:t>
      </w:r>
    </w:p>
    <w:p w:rsidR="00657BA0" w:rsidRPr="009908D7" w:rsidRDefault="00657BA0" w:rsidP="009908D7">
      <w:pPr>
        <w:jc w:val="both"/>
        <w:rPr>
          <w:rFonts w:ascii="Segoe UI" w:hAnsi="Segoe UI" w:cs="Segoe UI"/>
          <w:bCs/>
          <w:sz w:val="20"/>
          <w:szCs w:val="20"/>
          <w:lang w:val="es-ES_tradnl"/>
        </w:rPr>
      </w:pPr>
      <w:r w:rsidRPr="009908D7">
        <w:rPr>
          <w:rFonts w:ascii="Segoe UI" w:hAnsi="Segoe UI" w:cs="Segoe UI"/>
          <w:sz w:val="20"/>
          <w:szCs w:val="20"/>
          <w:lang w:val="es-ES_tradnl"/>
        </w:rPr>
        <w:t>Desayuno en el hotel. Visita panorámica de Oporto, considerada Patrimonio de la Humanidad, donde contemplaremos la Catedral, el edificio de la Bolsa y la Iglesia de Santa Clara. Después disfrute de una perspectiva diferente de la ciudad a lo largo del río Duero a bordo de un Crucero y descubra el patrimonio histórico visitando una conocida Bodega de Vino de Oporto con degustación de vinos incluida. Resto del día libre. Alojamiento.</w:t>
      </w: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9º Día (Mie.) OPORTO – CIUDAD RODRIGO – SALAMANCA 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Desayuno. Salida hacia la frontera española. Ya en España, y camino de Salamanca, parada en Ciudad Rodrigo, bella villa rodeada de murallas medievales y dominada por su imponente alcázar. Continuación a Salamanca, monumental ciudad universitaria, declarada Patrimonio de la Humanidad.  Alojamiento en el hotel. (D)</w:t>
      </w:r>
    </w:p>
    <w:p w:rsidR="00657BA0" w:rsidRPr="009908D7" w:rsidRDefault="00657BA0" w:rsidP="009908D7">
      <w:pPr>
        <w:pBdr>
          <w:bottom w:val="single" w:sz="18" w:space="1" w:color="92D050"/>
        </w:pBdr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10º Día (Jue.)  SALAMANCA – ÁVILA – MADRID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>Desayuno en el hotel. Salida hacia Ávila y tiempo libre para conocer esta histórica ciudad amurallada.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  <w:t xml:space="preserve">Continuación hacia Madrid. 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sz w:val="20"/>
          <w:szCs w:val="20"/>
          <w:lang w:val="es-ES_tradnl"/>
        </w:rPr>
        <w:t>FIN DE LOS SERVICIOS.</w:t>
      </w: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sz w:val="20"/>
          <w:szCs w:val="20"/>
          <w:lang w:val="es-ES_tradnl"/>
        </w:rPr>
      </w:pPr>
    </w:p>
    <w:p w:rsidR="00657BA0" w:rsidRPr="009908D7" w:rsidRDefault="00657BA0" w:rsidP="009908D7">
      <w:pPr>
        <w:jc w:val="both"/>
        <w:rPr>
          <w:rStyle w:val="Textoennegrita"/>
          <w:rFonts w:ascii="Segoe UI" w:hAnsi="Segoe UI" w:cs="Segoe UI"/>
          <w:b w:val="0"/>
          <w:i/>
          <w:color w:val="000000" w:themeColor="text1"/>
          <w:sz w:val="20"/>
          <w:szCs w:val="20"/>
          <w:lang w:val="es-ES_tradnl"/>
        </w:rPr>
      </w:pPr>
      <w:r w:rsidRPr="009908D7">
        <w:rPr>
          <w:rStyle w:val="Textoennegrita"/>
          <w:rFonts w:ascii="Segoe UI" w:hAnsi="Segoe UI" w:cs="Segoe UI"/>
          <w:i/>
          <w:color w:val="000000" w:themeColor="text1"/>
          <w:sz w:val="20"/>
          <w:szCs w:val="20"/>
          <w:lang w:val="es-ES_tradnl"/>
        </w:rPr>
        <w:t xml:space="preserve"> (*) Tour combinado con otros circuitos, no todos los participantes pudieran tener el mismo destino. De acuerdo al segmento del circuito el guía acompañante podría cambiar.</w:t>
      </w:r>
    </w:p>
    <w:p w:rsidR="00657BA0" w:rsidRPr="009908D7" w:rsidRDefault="00657BA0" w:rsidP="009908D7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:lang w:val="es-ES_tradnl"/>
        </w:rPr>
      </w:pPr>
    </w:p>
    <w:tbl>
      <w:tblPr>
        <w:tblStyle w:val="Tabladecuadrcula1clara-nfasis6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2268"/>
        <w:gridCol w:w="856"/>
        <w:gridCol w:w="4247"/>
      </w:tblGrid>
      <w:tr w:rsidR="00657BA0" w:rsidRPr="009908D7" w:rsidTr="00804E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none" w:sz="0" w:space="0" w:color="auto"/>
            </w:tcBorders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NOCHES</w:t>
            </w:r>
          </w:p>
        </w:tc>
        <w:tc>
          <w:tcPr>
            <w:tcW w:w="2268" w:type="dxa"/>
            <w:tcBorders>
              <w:bottom w:val="none" w:sz="0" w:space="0" w:color="auto"/>
            </w:tcBorders>
            <w:vAlign w:val="center"/>
            <w:hideMark/>
          </w:tcPr>
          <w:p w:rsidR="00657BA0" w:rsidRPr="009908D7" w:rsidRDefault="00657BA0" w:rsidP="00990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CIUDAD</w:t>
            </w:r>
          </w:p>
        </w:tc>
        <w:tc>
          <w:tcPr>
            <w:tcW w:w="856" w:type="dxa"/>
            <w:tcBorders>
              <w:bottom w:val="none" w:sz="0" w:space="0" w:color="auto"/>
            </w:tcBorders>
            <w:vAlign w:val="center"/>
            <w:hideMark/>
          </w:tcPr>
          <w:p w:rsidR="00657BA0" w:rsidRPr="009908D7" w:rsidRDefault="00657BA0" w:rsidP="00990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CLASE</w:t>
            </w:r>
          </w:p>
        </w:tc>
        <w:tc>
          <w:tcPr>
            <w:tcW w:w="4247" w:type="dxa"/>
            <w:tcBorders>
              <w:bottom w:val="none" w:sz="0" w:space="0" w:color="auto"/>
            </w:tcBorders>
            <w:vAlign w:val="center"/>
            <w:hideMark/>
          </w:tcPr>
          <w:p w:rsidR="00657BA0" w:rsidRPr="009908D7" w:rsidRDefault="00657BA0" w:rsidP="009908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 w:val="0"/>
                <w:color w:val="385623" w:themeColor="accent6" w:themeShade="80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color w:val="385623" w:themeColor="accent6" w:themeShade="80"/>
                <w:sz w:val="20"/>
                <w:szCs w:val="20"/>
                <w:lang w:val="es-ES_tradnl"/>
              </w:rPr>
              <w:t>HOTELES</w:t>
            </w:r>
          </w:p>
        </w:tc>
      </w:tr>
      <w:tr w:rsidR="00657BA0" w:rsidRPr="009908D7" w:rsidTr="00804E7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 Sebastián</w:t>
            </w:r>
          </w:p>
        </w:tc>
        <w:tc>
          <w:tcPr>
            <w:tcW w:w="856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Palacio de Aiete o similar</w:t>
            </w:r>
          </w:p>
        </w:tc>
      </w:tr>
      <w:tr w:rsidR="00657BA0" w:rsidRPr="009908D7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Santander</w:t>
            </w:r>
          </w:p>
        </w:tc>
        <w:tc>
          <w:tcPr>
            <w:tcW w:w="856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Hotel Santemar o similar</w:t>
            </w:r>
          </w:p>
        </w:tc>
      </w:tr>
      <w:tr w:rsidR="00657BA0" w:rsidRPr="009908D7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Oviedo</w:t>
            </w:r>
          </w:p>
        </w:tc>
        <w:tc>
          <w:tcPr>
            <w:tcW w:w="856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 xml:space="preserve">Sercotel Oviedo / AC Oviedo Forum o similar </w:t>
            </w:r>
          </w:p>
        </w:tc>
      </w:tr>
      <w:tr w:rsidR="00657BA0" w:rsidRPr="009908D7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de Compostela</w:t>
            </w:r>
          </w:p>
        </w:tc>
        <w:tc>
          <w:tcPr>
            <w:tcW w:w="856" w:type="dxa"/>
            <w:vAlign w:val="center"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Santiago Plaza affiliated by Meliá o similar</w:t>
            </w:r>
          </w:p>
        </w:tc>
      </w:tr>
      <w:tr w:rsidR="00657BA0" w:rsidRPr="009908D7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Oporto</w:t>
            </w:r>
          </w:p>
        </w:tc>
        <w:tc>
          <w:tcPr>
            <w:tcW w:w="856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sz w:val="20"/>
                <w:szCs w:val="20"/>
                <w:lang w:val="es-ES_tradnl"/>
              </w:rPr>
              <w:t>HF Fenix Ipanema / BessaHotel Boavista / Vila Galé Porto o similar</w:t>
            </w:r>
          </w:p>
        </w:tc>
      </w:tr>
      <w:tr w:rsidR="00657BA0" w:rsidRPr="009908D7" w:rsidTr="00804E7B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  <w:hideMark/>
          </w:tcPr>
          <w:p w:rsidR="00657BA0" w:rsidRPr="009908D7" w:rsidRDefault="00657BA0" w:rsidP="009908D7">
            <w:pPr>
              <w:rPr>
                <w:rFonts w:ascii="Segoe UI" w:hAnsi="Segoe UI" w:cs="Segoe UI"/>
                <w:b w:val="0"/>
                <w:bCs w:val="0"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 w:val="0"/>
                <w:color w:val="000000" w:themeColor="text1"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Salamanca</w:t>
            </w:r>
          </w:p>
        </w:tc>
        <w:tc>
          <w:tcPr>
            <w:tcW w:w="856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4247" w:type="dxa"/>
            <w:vAlign w:val="center"/>
            <w:hideMark/>
          </w:tcPr>
          <w:p w:rsidR="00657BA0" w:rsidRPr="009908D7" w:rsidRDefault="00657BA0" w:rsidP="009908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9908D7">
              <w:rPr>
                <w:rFonts w:ascii="Segoe UI" w:hAnsi="Segoe UI" w:cs="Segoe UI"/>
                <w:bCs/>
                <w:color w:val="000000" w:themeColor="text1"/>
                <w:sz w:val="20"/>
                <w:szCs w:val="20"/>
                <w:lang w:val="es-ES_tradnl"/>
              </w:rPr>
              <w:t>Catalonia Plaza Mayor o similar</w:t>
            </w:r>
          </w:p>
        </w:tc>
      </w:tr>
    </w:tbl>
    <w:p w:rsidR="00D0020D" w:rsidRPr="009908D7" w:rsidRDefault="00D0020D" w:rsidP="009908D7">
      <w:pPr>
        <w:rPr>
          <w:rFonts w:ascii="Segoe UI" w:hAnsi="Segoe UI" w:cs="Segoe UI"/>
          <w:sz w:val="20"/>
          <w:szCs w:val="20"/>
          <w:lang w:val="es-ES_tradnl"/>
        </w:rPr>
      </w:pPr>
    </w:p>
    <w:p w:rsidR="009908D7" w:rsidRPr="00B107BA" w:rsidRDefault="009908D7">
      <w:pPr>
        <w:rPr>
          <w:lang w:val="es-ES_tradnl"/>
        </w:rPr>
      </w:pPr>
    </w:p>
    <w:sectPr w:rsidR="009908D7" w:rsidRPr="00B107B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75" w:rsidRDefault="00A74875" w:rsidP="00C020B9">
      <w:r>
        <w:separator/>
      </w:r>
    </w:p>
  </w:endnote>
  <w:endnote w:type="continuationSeparator" w:id="0">
    <w:p w:rsidR="00A74875" w:rsidRDefault="00A7487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75" w:rsidRDefault="00A74875" w:rsidP="00C020B9">
      <w:r>
        <w:separator/>
      </w:r>
    </w:p>
  </w:footnote>
  <w:footnote w:type="continuationSeparator" w:id="0">
    <w:p w:rsidR="00A74875" w:rsidRDefault="00A7487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8A87374"/>
    <w:multiLevelType w:val="hybridMultilevel"/>
    <w:tmpl w:val="E618E27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06266"/>
    <w:rsid w:val="00027888"/>
    <w:rsid w:val="00035300"/>
    <w:rsid w:val="0004276D"/>
    <w:rsid w:val="00043CDA"/>
    <w:rsid w:val="0005053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782"/>
    <w:rsid w:val="000E1E2B"/>
    <w:rsid w:val="000E1EE9"/>
    <w:rsid w:val="000E3877"/>
    <w:rsid w:val="000E4493"/>
    <w:rsid w:val="000E5918"/>
    <w:rsid w:val="000E5CA0"/>
    <w:rsid w:val="000F518D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85F95"/>
    <w:rsid w:val="001956F3"/>
    <w:rsid w:val="001B0C37"/>
    <w:rsid w:val="001C492A"/>
    <w:rsid w:val="001D00D7"/>
    <w:rsid w:val="001D3271"/>
    <w:rsid w:val="001E2F61"/>
    <w:rsid w:val="001F1D7D"/>
    <w:rsid w:val="001F6E92"/>
    <w:rsid w:val="0020512F"/>
    <w:rsid w:val="00205153"/>
    <w:rsid w:val="002135C2"/>
    <w:rsid w:val="00215056"/>
    <w:rsid w:val="00217F78"/>
    <w:rsid w:val="0022524A"/>
    <w:rsid w:val="00225848"/>
    <w:rsid w:val="002347A7"/>
    <w:rsid w:val="00235E0B"/>
    <w:rsid w:val="00241FE0"/>
    <w:rsid w:val="00257612"/>
    <w:rsid w:val="00265641"/>
    <w:rsid w:val="00267383"/>
    <w:rsid w:val="00273B34"/>
    <w:rsid w:val="00284BE7"/>
    <w:rsid w:val="00285F62"/>
    <w:rsid w:val="00295532"/>
    <w:rsid w:val="002B207B"/>
    <w:rsid w:val="002B2F88"/>
    <w:rsid w:val="002C2EAB"/>
    <w:rsid w:val="002C4991"/>
    <w:rsid w:val="002C6A2C"/>
    <w:rsid w:val="002D1E9E"/>
    <w:rsid w:val="002E7D89"/>
    <w:rsid w:val="002F4B14"/>
    <w:rsid w:val="0030658D"/>
    <w:rsid w:val="00306A68"/>
    <w:rsid w:val="0032148F"/>
    <w:rsid w:val="00324913"/>
    <w:rsid w:val="0033240C"/>
    <w:rsid w:val="003333BF"/>
    <w:rsid w:val="00334288"/>
    <w:rsid w:val="00340B67"/>
    <w:rsid w:val="003510CF"/>
    <w:rsid w:val="00353059"/>
    <w:rsid w:val="00372A77"/>
    <w:rsid w:val="00380AF4"/>
    <w:rsid w:val="0039259C"/>
    <w:rsid w:val="003929DC"/>
    <w:rsid w:val="003A190D"/>
    <w:rsid w:val="003A5422"/>
    <w:rsid w:val="003B58BB"/>
    <w:rsid w:val="003C39E1"/>
    <w:rsid w:val="003C3C19"/>
    <w:rsid w:val="003E29AD"/>
    <w:rsid w:val="003F142E"/>
    <w:rsid w:val="003F7FBE"/>
    <w:rsid w:val="004162BF"/>
    <w:rsid w:val="0041711D"/>
    <w:rsid w:val="004222F6"/>
    <w:rsid w:val="0042707C"/>
    <w:rsid w:val="00434FDA"/>
    <w:rsid w:val="004410B7"/>
    <w:rsid w:val="00477E2B"/>
    <w:rsid w:val="00484DA6"/>
    <w:rsid w:val="00491DC6"/>
    <w:rsid w:val="00495A2D"/>
    <w:rsid w:val="00496030"/>
    <w:rsid w:val="004A25E2"/>
    <w:rsid w:val="004B5878"/>
    <w:rsid w:val="004C3E1E"/>
    <w:rsid w:val="004C60DF"/>
    <w:rsid w:val="004D4013"/>
    <w:rsid w:val="004E3366"/>
    <w:rsid w:val="00513975"/>
    <w:rsid w:val="00515A18"/>
    <w:rsid w:val="00527DEB"/>
    <w:rsid w:val="0053078B"/>
    <w:rsid w:val="005404B2"/>
    <w:rsid w:val="00551736"/>
    <w:rsid w:val="00553711"/>
    <w:rsid w:val="00560A71"/>
    <w:rsid w:val="00560F38"/>
    <w:rsid w:val="005612A7"/>
    <w:rsid w:val="00567CB8"/>
    <w:rsid w:val="00573655"/>
    <w:rsid w:val="005777A7"/>
    <w:rsid w:val="00584E73"/>
    <w:rsid w:val="005854E0"/>
    <w:rsid w:val="00585ECE"/>
    <w:rsid w:val="005A061D"/>
    <w:rsid w:val="005A221C"/>
    <w:rsid w:val="005E264B"/>
    <w:rsid w:val="00603077"/>
    <w:rsid w:val="00605B4B"/>
    <w:rsid w:val="00614BC6"/>
    <w:rsid w:val="00622AFD"/>
    <w:rsid w:val="0063194A"/>
    <w:rsid w:val="006376EC"/>
    <w:rsid w:val="00646034"/>
    <w:rsid w:val="00652606"/>
    <w:rsid w:val="00655DFD"/>
    <w:rsid w:val="00655ECE"/>
    <w:rsid w:val="00657BA0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300"/>
    <w:rsid w:val="006E2D6C"/>
    <w:rsid w:val="006F2722"/>
    <w:rsid w:val="0070180E"/>
    <w:rsid w:val="007053CC"/>
    <w:rsid w:val="00707538"/>
    <w:rsid w:val="00730878"/>
    <w:rsid w:val="007328F5"/>
    <w:rsid w:val="0073291A"/>
    <w:rsid w:val="00733F28"/>
    <w:rsid w:val="00751FFE"/>
    <w:rsid w:val="00753A8E"/>
    <w:rsid w:val="007550C7"/>
    <w:rsid w:val="007577CE"/>
    <w:rsid w:val="00760AA8"/>
    <w:rsid w:val="00761F02"/>
    <w:rsid w:val="007812ED"/>
    <w:rsid w:val="00781663"/>
    <w:rsid w:val="00785E0E"/>
    <w:rsid w:val="007A2057"/>
    <w:rsid w:val="007A3ACE"/>
    <w:rsid w:val="007A5E82"/>
    <w:rsid w:val="007D28CE"/>
    <w:rsid w:val="007D3D95"/>
    <w:rsid w:val="007D67AA"/>
    <w:rsid w:val="007E1F96"/>
    <w:rsid w:val="007E7A68"/>
    <w:rsid w:val="007F0CA0"/>
    <w:rsid w:val="00803077"/>
    <w:rsid w:val="00807CF9"/>
    <w:rsid w:val="00821751"/>
    <w:rsid w:val="00830554"/>
    <w:rsid w:val="008354CE"/>
    <w:rsid w:val="00853D11"/>
    <w:rsid w:val="008562BE"/>
    <w:rsid w:val="008601A1"/>
    <w:rsid w:val="008743EC"/>
    <w:rsid w:val="0087645F"/>
    <w:rsid w:val="00885E26"/>
    <w:rsid w:val="00887816"/>
    <w:rsid w:val="00891F3C"/>
    <w:rsid w:val="008C3EB5"/>
    <w:rsid w:val="008D4BBB"/>
    <w:rsid w:val="008E25C3"/>
    <w:rsid w:val="008E46BE"/>
    <w:rsid w:val="008F0B33"/>
    <w:rsid w:val="008F333C"/>
    <w:rsid w:val="008F5F46"/>
    <w:rsid w:val="009040B1"/>
    <w:rsid w:val="00910F41"/>
    <w:rsid w:val="009110F1"/>
    <w:rsid w:val="009227B8"/>
    <w:rsid w:val="009337C8"/>
    <w:rsid w:val="00936E88"/>
    <w:rsid w:val="009402DB"/>
    <w:rsid w:val="00955A95"/>
    <w:rsid w:val="00960AEF"/>
    <w:rsid w:val="00961AAD"/>
    <w:rsid w:val="0096350A"/>
    <w:rsid w:val="00973485"/>
    <w:rsid w:val="00981A99"/>
    <w:rsid w:val="009908D7"/>
    <w:rsid w:val="009918DC"/>
    <w:rsid w:val="00994800"/>
    <w:rsid w:val="00996B6F"/>
    <w:rsid w:val="009A10FD"/>
    <w:rsid w:val="009A4C31"/>
    <w:rsid w:val="009B134A"/>
    <w:rsid w:val="009B373F"/>
    <w:rsid w:val="009C03A8"/>
    <w:rsid w:val="009C0459"/>
    <w:rsid w:val="009C4773"/>
    <w:rsid w:val="009D57DB"/>
    <w:rsid w:val="009E4B9B"/>
    <w:rsid w:val="009F1057"/>
    <w:rsid w:val="00A04145"/>
    <w:rsid w:val="00A10D01"/>
    <w:rsid w:val="00A10D40"/>
    <w:rsid w:val="00A10E61"/>
    <w:rsid w:val="00A12920"/>
    <w:rsid w:val="00A137DC"/>
    <w:rsid w:val="00A1584A"/>
    <w:rsid w:val="00A23DBB"/>
    <w:rsid w:val="00A26E5E"/>
    <w:rsid w:val="00A270F8"/>
    <w:rsid w:val="00A31CDC"/>
    <w:rsid w:val="00A31EC6"/>
    <w:rsid w:val="00A32268"/>
    <w:rsid w:val="00A32721"/>
    <w:rsid w:val="00A45F98"/>
    <w:rsid w:val="00A74875"/>
    <w:rsid w:val="00A74C43"/>
    <w:rsid w:val="00A7762D"/>
    <w:rsid w:val="00A90B42"/>
    <w:rsid w:val="00A94C0A"/>
    <w:rsid w:val="00A96C96"/>
    <w:rsid w:val="00AC1303"/>
    <w:rsid w:val="00AC4F28"/>
    <w:rsid w:val="00AC584F"/>
    <w:rsid w:val="00AC6F23"/>
    <w:rsid w:val="00AD17FF"/>
    <w:rsid w:val="00AE2455"/>
    <w:rsid w:val="00AE4A61"/>
    <w:rsid w:val="00AE4BA2"/>
    <w:rsid w:val="00AF1F25"/>
    <w:rsid w:val="00AF350A"/>
    <w:rsid w:val="00AF64C0"/>
    <w:rsid w:val="00B012CA"/>
    <w:rsid w:val="00B01674"/>
    <w:rsid w:val="00B05C05"/>
    <w:rsid w:val="00B107BA"/>
    <w:rsid w:val="00B17B1E"/>
    <w:rsid w:val="00B21365"/>
    <w:rsid w:val="00B22AC5"/>
    <w:rsid w:val="00B25895"/>
    <w:rsid w:val="00B348F4"/>
    <w:rsid w:val="00B42D90"/>
    <w:rsid w:val="00B5409E"/>
    <w:rsid w:val="00B63737"/>
    <w:rsid w:val="00B719EC"/>
    <w:rsid w:val="00B85C9E"/>
    <w:rsid w:val="00B86CB8"/>
    <w:rsid w:val="00B913B7"/>
    <w:rsid w:val="00B92E7D"/>
    <w:rsid w:val="00BB1277"/>
    <w:rsid w:val="00BB59E6"/>
    <w:rsid w:val="00BC2937"/>
    <w:rsid w:val="00BE2A72"/>
    <w:rsid w:val="00C01231"/>
    <w:rsid w:val="00C020B9"/>
    <w:rsid w:val="00C058DE"/>
    <w:rsid w:val="00C21681"/>
    <w:rsid w:val="00C226FA"/>
    <w:rsid w:val="00C34C70"/>
    <w:rsid w:val="00C5023A"/>
    <w:rsid w:val="00C73BDB"/>
    <w:rsid w:val="00C80A66"/>
    <w:rsid w:val="00C87766"/>
    <w:rsid w:val="00CA3003"/>
    <w:rsid w:val="00CB118C"/>
    <w:rsid w:val="00CC0261"/>
    <w:rsid w:val="00CC0A40"/>
    <w:rsid w:val="00CC36DC"/>
    <w:rsid w:val="00CD0E2A"/>
    <w:rsid w:val="00CD3548"/>
    <w:rsid w:val="00CD42E7"/>
    <w:rsid w:val="00CD5EAF"/>
    <w:rsid w:val="00CE22E9"/>
    <w:rsid w:val="00CF2931"/>
    <w:rsid w:val="00D0020D"/>
    <w:rsid w:val="00D01F2E"/>
    <w:rsid w:val="00D03909"/>
    <w:rsid w:val="00D03A65"/>
    <w:rsid w:val="00D2230E"/>
    <w:rsid w:val="00D300F3"/>
    <w:rsid w:val="00D30F37"/>
    <w:rsid w:val="00D40424"/>
    <w:rsid w:val="00D41BB0"/>
    <w:rsid w:val="00D429A5"/>
    <w:rsid w:val="00D42C74"/>
    <w:rsid w:val="00D43D40"/>
    <w:rsid w:val="00D47475"/>
    <w:rsid w:val="00D54474"/>
    <w:rsid w:val="00D579A1"/>
    <w:rsid w:val="00D60EFA"/>
    <w:rsid w:val="00D613E0"/>
    <w:rsid w:val="00D64513"/>
    <w:rsid w:val="00D80191"/>
    <w:rsid w:val="00D82499"/>
    <w:rsid w:val="00D83208"/>
    <w:rsid w:val="00D87362"/>
    <w:rsid w:val="00D87699"/>
    <w:rsid w:val="00D9386E"/>
    <w:rsid w:val="00D96601"/>
    <w:rsid w:val="00DB0380"/>
    <w:rsid w:val="00DD6EB3"/>
    <w:rsid w:val="00DE039B"/>
    <w:rsid w:val="00E01336"/>
    <w:rsid w:val="00E1013A"/>
    <w:rsid w:val="00E23498"/>
    <w:rsid w:val="00E54364"/>
    <w:rsid w:val="00E55D02"/>
    <w:rsid w:val="00E57A21"/>
    <w:rsid w:val="00E70951"/>
    <w:rsid w:val="00E80A39"/>
    <w:rsid w:val="00E87863"/>
    <w:rsid w:val="00E92C5D"/>
    <w:rsid w:val="00EA004E"/>
    <w:rsid w:val="00EB134A"/>
    <w:rsid w:val="00EB584A"/>
    <w:rsid w:val="00EB6A4F"/>
    <w:rsid w:val="00EE3880"/>
    <w:rsid w:val="00EE501E"/>
    <w:rsid w:val="00EE71E4"/>
    <w:rsid w:val="00F00E70"/>
    <w:rsid w:val="00F01F28"/>
    <w:rsid w:val="00F02907"/>
    <w:rsid w:val="00F07AF8"/>
    <w:rsid w:val="00F10090"/>
    <w:rsid w:val="00F23037"/>
    <w:rsid w:val="00F2354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A7CA0"/>
    <w:rsid w:val="00FB4E48"/>
    <w:rsid w:val="00FB57F8"/>
    <w:rsid w:val="00FC1429"/>
    <w:rsid w:val="00FD26DE"/>
    <w:rsid w:val="00FD531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table" w:styleId="Tabladecuadrcula1clara-nfasis6">
    <w:name w:val="Grid Table 1 Light Accent 6"/>
    <w:basedOn w:val="Tablanormal"/>
    <w:uiPriority w:val="46"/>
    <w:rsid w:val="002B2F88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next w:val="Tabladecuadrcula1clara-nfasis6"/>
    <w:uiPriority w:val="46"/>
    <w:rsid w:val="00E70951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30A3-CE60-47C7-B1A7-FE6FFB69E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2023-10-20T16:11:00Z</dcterms:created>
  <dcterms:modified xsi:type="dcterms:W3CDTF">2023-10-20T19:36:00Z</dcterms:modified>
</cp:coreProperties>
</file>