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BBB51" w14:textId="77777777" w:rsidR="00BD1CAF" w:rsidRPr="005F30B4" w:rsidRDefault="00BD1CAF" w:rsidP="005F30B4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7895C6A6" w14:textId="77777777" w:rsidR="00BD1CAF" w:rsidRPr="005F30B4" w:rsidRDefault="00BD1CAF" w:rsidP="005F30B4">
      <w:pPr>
        <w:numPr>
          <w:ilvl w:val="0"/>
          <w:numId w:val="3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24F2C944" w14:textId="77777777" w:rsidR="00BD1CAF" w:rsidRPr="005F30B4" w:rsidRDefault="00BD1CAF" w:rsidP="005F30B4">
      <w:pPr>
        <w:numPr>
          <w:ilvl w:val="0"/>
          <w:numId w:val="3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111FEC08" w14:textId="77777777" w:rsidR="00BD1CAF" w:rsidRPr="005F30B4" w:rsidRDefault="000832C1" w:rsidP="005F30B4">
      <w:pPr>
        <w:numPr>
          <w:ilvl w:val="0"/>
          <w:numId w:val="3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13 desayunos</w:t>
      </w:r>
    </w:p>
    <w:p w14:paraId="10AE9679" w14:textId="77777777" w:rsidR="00BD1CAF" w:rsidRPr="005F30B4" w:rsidRDefault="00BD1CAF" w:rsidP="005F30B4">
      <w:pPr>
        <w:numPr>
          <w:ilvl w:val="0"/>
          <w:numId w:val="3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</w:t>
      </w:r>
      <w:bookmarkStart w:id="0" w:name="_GoBack"/>
      <w:bookmarkEnd w:id="0"/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os en vehículos de diferentes tamaños con aire acondicionado </w:t>
      </w:r>
    </w:p>
    <w:p w14:paraId="14CF4FD7" w14:textId="77777777" w:rsidR="00BD1CAF" w:rsidRPr="005F30B4" w:rsidRDefault="00BD1CAF" w:rsidP="005F30B4">
      <w:pPr>
        <w:widowControl w:val="0"/>
        <w:numPr>
          <w:ilvl w:val="0"/>
          <w:numId w:val="3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7036A133" w14:textId="77777777" w:rsidR="00BD1CAF" w:rsidRPr="005F30B4" w:rsidRDefault="00BD1CAF" w:rsidP="005F30B4">
      <w:pPr>
        <w:numPr>
          <w:ilvl w:val="0"/>
          <w:numId w:val="3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7AD32745" w14:textId="77777777" w:rsidR="00BD1CAF" w:rsidRPr="005F30B4" w:rsidRDefault="00BD1CAF" w:rsidP="005F30B4">
      <w:pPr>
        <w:numPr>
          <w:ilvl w:val="0"/>
          <w:numId w:val="3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Traslados de llegada y salida</w:t>
      </w:r>
    </w:p>
    <w:p w14:paraId="5763938D" w14:textId="77777777" w:rsidR="00BD1CAF" w:rsidRPr="005F30B4" w:rsidRDefault="00BD1CAF" w:rsidP="005F30B4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523610C4" w14:textId="77777777" w:rsidR="00BD1CAF" w:rsidRPr="005F30B4" w:rsidRDefault="00BD1CAF" w:rsidP="005F30B4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Praga (El Castillo Real de Hradcany)</w:t>
      </w:r>
    </w:p>
    <w:p w14:paraId="7F2E01C5" w14:textId="77777777" w:rsidR="00BD1CAF" w:rsidRPr="005F30B4" w:rsidRDefault="00BD1CAF" w:rsidP="005F30B4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Viena (La Catedral de San Esteban) </w:t>
      </w:r>
    </w:p>
    <w:p w14:paraId="2306E937" w14:textId="77777777" w:rsidR="00BD1CAF" w:rsidRPr="005F30B4" w:rsidRDefault="00BD1CAF" w:rsidP="005F30B4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Budapest (El Bastión de los Pescadores)</w:t>
      </w:r>
    </w:p>
    <w:p w14:paraId="5B2DA631" w14:textId="77777777" w:rsidR="00BD1CAF" w:rsidRPr="005F30B4" w:rsidRDefault="00BD1CAF" w:rsidP="005F30B4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014D7D05" w14:textId="77777777" w:rsidR="00BD1CAF" w:rsidRPr="005F30B4" w:rsidRDefault="00BD1CAF" w:rsidP="005F30B4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14C1ECC8" w14:textId="77777777" w:rsidR="00BD1CAF" w:rsidRPr="005F30B4" w:rsidRDefault="00BD1CAF" w:rsidP="005F30B4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6EA55E77" w14:textId="581627F7" w:rsidR="00BD1CAF" w:rsidRPr="005F30B4" w:rsidRDefault="00BD1CAF" w:rsidP="005F30B4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</w:t>
      </w:r>
      <w:r w:rsidR="0075311F"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87357F"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5F30B4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y el Monasterio Franciscano)</w:t>
      </w:r>
    </w:p>
    <w:p w14:paraId="5925EE35" w14:textId="77777777" w:rsidR="00BD1CAF" w:rsidRPr="005F30B4" w:rsidRDefault="00BD1CAF" w:rsidP="00895C91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1F3049F0" w14:textId="77777777" w:rsidR="00BD1CAF" w:rsidRPr="005F30B4" w:rsidRDefault="00BD1CAF" w:rsidP="00895C91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50232FD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sábado, llegada a Praga</w:t>
      </w:r>
      <w:r w:rsidR="00CD466F"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(S320 desde Praga)</w:t>
      </w:r>
    </w:p>
    <w:p w14:paraId="70EE38FE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desde el aeropuerto al hotel. Alojamiento en Praga.</w:t>
      </w:r>
    </w:p>
    <w:p w14:paraId="6248AF42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2, domingo, en Praga </w:t>
      </w:r>
    </w:p>
    <w:p w14:paraId="197855C3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mañana</w:t>
      </w:r>
      <w:r w:rsidR="002E169F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tour panorámico veremos los sitios más importantes de Praga. Visitaremos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el Castillo Real de Hradcany 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 la Catedral de San Vitus y pasearemos por la famosa calle ‘Zlatá ulička’. Luego cruzaremos el puente de Carlos hasta el casco antiguo de Praga para la visita del Ayuntamiento y el famoso Reloj Astronómico.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El resto del día tiempo libre.</w:t>
      </w:r>
    </w:p>
    <w:p w14:paraId="780C9AC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lunes, a Viena</w:t>
      </w:r>
      <w:r w:rsidR="00CD466F"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(S330 desde Viena)</w:t>
      </w:r>
    </w:p>
    <w:p w14:paraId="1699C51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Salimos por la mañana de Praga. Viajamos en dirección sur hasta Viena, la capital austr</w:t>
      </w:r>
      <w:r w:rsidR="002E169F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í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aca. El resto del día libre.</w:t>
      </w:r>
    </w:p>
    <w:p w14:paraId="7689420E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4, martes, en Viena </w:t>
      </w:r>
    </w:p>
    <w:p w14:paraId="0AB81AA3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Incluimos una visita panorámica de Viena con las vistas del hermoso Palacio de Hofburg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el Palacio de Belvedere, el Parque de atracciones llamado Prater, los edificios de la ONU y visita de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Catedral de San Esteban. 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La tarde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libre.</w:t>
      </w:r>
    </w:p>
    <w:p w14:paraId="33C6BD22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miércoles, a Budapest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6A5289CE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Saldremos hacia Hungría, llegando a su capital a mediodía. Tiempo para visitas opcio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nales y el resto del día libre.</w:t>
      </w:r>
    </w:p>
    <w:p w14:paraId="1C029CB7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jueves, en Budapest</w:t>
      </w:r>
    </w:p>
    <w:p w14:paraId="2B42DC98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Nuestra visita matinal incluye el Parlamento, el Palacio Real, el área de la Colina del Castillo con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el Bastión de los Pescadores, 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la Iglesia de la Coronación, la Plaza del Héroe y la Colina de Gellert. El resto del día para exploración individual de esta maravillosa ciudad.</w:t>
      </w:r>
    </w:p>
    <w:p w14:paraId="33B564F7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7, viernes, de Budapest a Zagreb</w:t>
      </w:r>
    </w:p>
    <w:p w14:paraId="50EF2C66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Esta mañana saldremos hacia la capital de Croacia: Zagreb. Llegada por la tarde y alojamiento en el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hotel. El resto del día libre.</w:t>
      </w:r>
    </w:p>
    <w:p w14:paraId="162EB80E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8, sábado, en Zagreb</w:t>
      </w:r>
    </w:p>
    <w:p w14:paraId="1957A577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la capital de Croacia incluye el paseo por el centro histórico “Gornji Grad” con su famosa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</w:t>
      </w:r>
    </w:p>
    <w:p w14:paraId="365280EC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9, domingo, a los Lagos de Plitvice y Split </w:t>
      </w:r>
    </w:p>
    <w:p w14:paraId="1628B148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Patrimonio Mundial por la UNESCO. Entrada al parque donde admiraremos sus lagos y cataratas; pasearemos por sus senderos y</w:t>
      </w:r>
      <w:r w:rsidR="002E169F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algunas </w:t>
      </w:r>
      <w:r w:rsidR="002E169F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lastRenderedPageBreak/>
        <w:t>ocasiones (cuando sea posible)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tomaremos los barcos que cruzan las aguas verdes de estos lagos. Continuación hacia Split. Llegada y al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ojamiento en el hotel en Split.</w:t>
      </w:r>
    </w:p>
    <w:p w14:paraId="71E67779" w14:textId="77777777" w:rsidR="00BD1CAF" w:rsidRPr="005F30B4" w:rsidRDefault="00BD1CAF" w:rsidP="00895C91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10, lunes, en Split</w:t>
      </w:r>
    </w:p>
    <w:p w14:paraId="3182587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Visita de la ciudad que también está en la lista de la UNESCO con su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267948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</w:t>
      </w:r>
      <w:r w:rsidR="00454329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atedral de San Duje, el patrón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Split y el templo de Júpiter</w:t>
      </w:r>
      <w:r w:rsidR="002E169F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El resto del día libre. </w:t>
      </w:r>
    </w:p>
    <w:p w14:paraId="1F39E7F5" w14:textId="77777777" w:rsidR="00BD1CAF" w:rsidRPr="005F30B4" w:rsidRDefault="00BD1CAF" w:rsidP="00895C91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11, martes, en Split</w:t>
      </w:r>
    </w:p>
    <w:p w14:paraId="0B8458C8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cionales (a Hvar o Medjugorje).</w:t>
      </w:r>
    </w:p>
    <w:p w14:paraId="35B6ACA3" w14:textId="77777777" w:rsidR="00BD1CAF" w:rsidRPr="005F30B4" w:rsidRDefault="00BD1CAF" w:rsidP="00895C91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12, miércoles, a Dubrovnik </w:t>
      </w:r>
    </w:p>
    <w:p w14:paraId="3C09C800" w14:textId="1A047495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="0075311F"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87357F"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6A1955A6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13, jueves, en Dubrovnik</w:t>
      </w:r>
    </w:p>
    <w:p w14:paraId="68F7A84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</w:p>
    <w:p w14:paraId="698510CA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14, viernes, salida de Dubrovnik </w:t>
      </w:r>
    </w:p>
    <w:p w14:paraId="30E1FECF" w14:textId="77777777" w:rsidR="00BD1CAF" w:rsidRPr="005F30B4" w:rsidRDefault="00BD1CAF" w:rsidP="00895C91">
      <w:pPr>
        <w:spacing w:line="276" w:lineRule="auto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</w:t>
      </w:r>
      <w:r w:rsidR="000832C1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uerto para su vuelo de regreso.</w:t>
      </w:r>
    </w:p>
    <w:p w14:paraId="68F9147A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</w:p>
    <w:p w14:paraId="36937EE3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 sin guía acompañante). </w:t>
      </w:r>
    </w:p>
    <w:p w14:paraId="27B04286" w14:textId="77777777" w:rsidR="00956B08" w:rsidRPr="005F30B4" w:rsidRDefault="00956B08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1F28CD9E" w14:textId="77777777" w:rsidR="00BD1CAF" w:rsidRPr="005F30B4" w:rsidRDefault="00BD1CAF" w:rsidP="00895C91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6877277E" w14:textId="77777777" w:rsidR="00D15EB2" w:rsidRPr="005F30B4" w:rsidRDefault="00D15EB2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Praga: Hotel Occidental Five 4* o similar</w:t>
      </w:r>
    </w:p>
    <w:p w14:paraId="3E32EFE7" w14:textId="77777777" w:rsidR="00D15EB2" w:rsidRPr="005F30B4" w:rsidRDefault="00D15EB2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Viena: </w:t>
      </w:r>
      <w:r w:rsidR="004A26E0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Hotel Fleming’s Conference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 o similar</w:t>
      </w:r>
    </w:p>
    <w:p w14:paraId="432A56AC" w14:textId="77777777" w:rsidR="00D15EB2" w:rsidRPr="005F30B4" w:rsidRDefault="00D15EB2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Budapest: Hotel Lions Garden 4* o similar</w:t>
      </w:r>
    </w:p>
    <w:p w14:paraId="1A7AE842" w14:textId="77777777" w:rsidR="00CE55F2" w:rsidRPr="005F30B4" w:rsidRDefault="00CE55F2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4E889040" w14:textId="77777777" w:rsidR="00D1750C" w:rsidRPr="005F30B4" w:rsidRDefault="00D1750C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72B411A0" w14:textId="77777777" w:rsidR="00CD466F" w:rsidRPr="005F30B4" w:rsidRDefault="00CD466F" w:rsidP="00895C91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011528C1" w14:textId="77777777" w:rsidR="00BD1CAF" w:rsidRPr="005F30B4" w:rsidRDefault="00BD1CAF" w:rsidP="00895C91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020"/>
        <w:gridCol w:w="4365"/>
      </w:tblGrid>
      <w:tr w:rsidR="005F30B4" w:rsidRPr="005F30B4" w14:paraId="002E0EF5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0E2" w14:textId="77777777" w:rsidR="006A7ECF" w:rsidRPr="005F30B4" w:rsidRDefault="006A7ECF" w:rsidP="00895C91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D7D" w14:textId="77777777" w:rsidR="006A7ECF" w:rsidRPr="005F30B4" w:rsidRDefault="006A7ECF" w:rsidP="00895C91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360" w14:textId="77777777" w:rsidR="006A7ECF" w:rsidRPr="005F30B4" w:rsidRDefault="006A7ECF" w:rsidP="00895C91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5F30B4" w:rsidRPr="005F30B4" w14:paraId="28299D9B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81C2" w14:textId="77C59FEF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4-may.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9E28" w14:textId="73959705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17-may.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52F6" w14:textId="4F097825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2.795 €</w:t>
            </w:r>
          </w:p>
        </w:tc>
      </w:tr>
      <w:tr w:rsidR="005F30B4" w:rsidRPr="005F30B4" w14:paraId="2671F6D2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0EE9" w14:textId="4CCF9D1E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8-jun.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E50D" w14:textId="53CB5CF1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21-jun.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E67B" w14:textId="43241E4A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2.950 €</w:t>
            </w:r>
          </w:p>
        </w:tc>
      </w:tr>
      <w:tr w:rsidR="005F30B4" w:rsidRPr="005F30B4" w14:paraId="1D1EF423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8C9C" w14:textId="3BB9699C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17-ago.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30F5" w14:textId="53155A44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30-ago.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239C" w14:textId="43D9CA6E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2.995 €</w:t>
            </w:r>
          </w:p>
        </w:tc>
      </w:tr>
      <w:tr w:rsidR="005F30B4" w:rsidRPr="005F30B4" w14:paraId="7BA0A18F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9BBC" w14:textId="7534BF50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14-sep.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5DE7" w14:textId="039C4D63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27-sep.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4242" w14:textId="172B32C8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2.950 €</w:t>
            </w:r>
          </w:p>
        </w:tc>
      </w:tr>
      <w:tr w:rsidR="005F30B4" w:rsidRPr="005F30B4" w14:paraId="70CC049F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E502" w14:textId="1E51830B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5-oct.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5385" w14:textId="381CF9B0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18-oct.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EE55" w14:textId="36277766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2.695 €</w:t>
            </w:r>
          </w:p>
        </w:tc>
      </w:tr>
      <w:tr w:rsidR="005F30B4" w:rsidRPr="005F30B4" w14:paraId="23C201DE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F99" w14:textId="77777777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D86" w14:textId="77777777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F1EE" w14:textId="10008640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515 €</w:t>
            </w:r>
          </w:p>
        </w:tc>
      </w:tr>
      <w:tr w:rsidR="005F30B4" w:rsidRPr="005F30B4" w14:paraId="196D1B8D" w14:textId="77777777" w:rsidTr="005F30B4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349" w14:textId="77777777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5DA" w14:textId="77777777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3055" w14:textId="2E050FB6" w:rsidR="00673FFC" w:rsidRPr="005F30B4" w:rsidRDefault="00673FFC" w:rsidP="00673FF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5F30B4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1.135 €</w:t>
            </w:r>
          </w:p>
        </w:tc>
      </w:tr>
    </w:tbl>
    <w:p w14:paraId="09C6AE91" w14:textId="77777777" w:rsidR="002D0A73" w:rsidRPr="005F30B4" w:rsidRDefault="002D0A73" w:rsidP="00895C91">
      <w:pPr>
        <w:autoSpaceDE/>
        <w:autoSpaceDN/>
        <w:spacing w:line="276" w:lineRule="auto"/>
        <w:jc w:val="center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</w:pPr>
    </w:p>
    <w:p w14:paraId="2623A8F3" w14:textId="0C44F9D3" w:rsidR="00956B08" w:rsidRPr="005F30B4" w:rsidRDefault="00956B08" w:rsidP="00895C91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</w:pP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S330 &gt; Descuento para empezar este circuito en Viena </w:t>
      </w:r>
      <w:r w:rsidR="00A84FA2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160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 en </w:t>
      </w:r>
      <w:r w:rsidR="00EE5685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habitación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doble o </w:t>
      </w:r>
      <w:r w:rsidR="00A84FA2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270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 en </w:t>
      </w:r>
      <w:r w:rsidR="00EE5685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habitación</w:t>
      </w:r>
      <w:r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single.</w:t>
      </w:r>
      <w:r w:rsidR="00124AC4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Descuento para suplemento de media pensión es </w:t>
      </w:r>
      <w:r w:rsidR="00A84FA2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60</w:t>
      </w:r>
      <w:r w:rsidR="00124AC4" w:rsidRPr="005F30B4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persona.</w:t>
      </w:r>
    </w:p>
    <w:p w14:paraId="41153590" w14:textId="77777777" w:rsidR="00956B08" w:rsidRPr="005F30B4" w:rsidRDefault="00956B08" w:rsidP="00895C91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956B08" w:rsidRPr="005F30B4" w:rsidSect="001C2D42">
      <w:headerReference w:type="default" r:id="rId8"/>
      <w:footerReference w:type="default" r:id="rId9"/>
      <w:type w:val="continuous"/>
      <w:pgSz w:w="11907" w:h="16839" w:code="9"/>
      <w:pgMar w:top="1701" w:right="720" w:bottom="720" w:left="720" w:header="720" w:footer="720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B609" w14:textId="77777777" w:rsidR="00F91EB4" w:rsidRDefault="00F91EB4" w:rsidP="00BD1CAF">
      <w:r>
        <w:separator/>
      </w:r>
    </w:p>
  </w:endnote>
  <w:endnote w:type="continuationSeparator" w:id="0">
    <w:p w14:paraId="1D489916" w14:textId="77777777" w:rsidR="00F91EB4" w:rsidRDefault="00F91EB4" w:rsidP="00B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37B8" w14:textId="3F9A5668" w:rsidR="00910250" w:rsidRPr="00BD1CAF" w:rsidRDefault="001C2D42" w:rsidP="001C2D42">
    <w:pPr>
      <w:pStyle w:val="Piedepgina"/>
      <w:jc w:val="center"/>
      <w:rPr>
        <w:szCs w:val="16"/>
      </w:rPr>
    </w:pPr>
    <w:r>
      <w:rPr>
        <w:noProof/>
        <w:lang w:val="es-AR" w:eastAsia="es-AR"/>
      </w:rPr>
      <w:drawing>
        <wp:inline distT="0" distB="0" distL="0" distR="0" wp14:anchorId="1EF19BCA" wp14:editId="35F25D37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777D" w14:textId="77777777" w:rsidR="00F91EB4" w:rsidRDefault="00F91EB4" w:rsidP="00BD1CAF">
      <w:r>
        <w:separator/>
      </w:r>
    </w:p>
  </w:footnote>
  <w:footnote w:type="continuationSeparator" w:id="0">
    <w:p w14:paraId="21DF84B5" w14:textId="77777777" w:rsidR="00F91EB4" w:rsidRDefault="00F91EB4" w:rsidP="00BD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7C5D" w14:textId="77777777" w:rsidR="00910250" w:rsidRPr="00BD1CAF" w:rsidRDefault="00F91EB4" w:rsidP="00BD1CAF">
    <w:pPr>
      <w:pStyle w:val="Encabezado"/>
      <w:rPr>
        <w:szCs w:val="20"/>
      </w:rPr>
    </w:pPr>
    <w:r>
      <w:rPr>
        <w:noProof/>
        <w:szCs w:val="20"/>
        <w:lang w:val="sl-SI" w:eastAsia="zh-CN"/>
      </w:rPr>
      <w:pict w14:anchorId="1A97FC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.4pt;width:558.75pt;height:49.6pt;z-index:251658240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49">
            <w:txbxContent>
              <w:p w14:paraId="6E8F7D93" w14:textId="77777777" w:rsidR="00BD1CAF" w:rsidRPr="00385FA4" w:rsidRDefault="00BD1CAF" w:rsidP="00BD1CAF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385FA4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S320</w:t>
                </w:r>
                <w:r w:rsidR="007F2B88" w:rsidRPr="00385FA4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 xml:space="preserve"> / S330</w:t>
                </w:r>
                <w:r w:rsidRPr="00385FA4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 xml:space="preserve"> ~ CAPITALES IMPERIALES Y CROACIA</w:t>
                </w:r>
              </w:p>
              <w:p w14:paraId="11D172B5" w14:textId="77777777" w:rsidR="00BD1CAF" w:rsidRPr="00385FA4" w:rsidRDefault="00BD1CAF" w:rsidP="00BD1CAF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385FA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14 días incluyendo Praga, Viena, Budapest, Zagreb, Plitvice, Split y Dubrovnik</w:t>
                </w:r>
              </w:p>
              <w:p w14:paraId="2B2A3870" w14:textId="77777777" w:rsidR="00BD1CAF" w:rsidRPr="00BD1CAF" w:rsidRDefault="00BD1CAF" w:rsidP="00BD1CAF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E44"/>
    <w:multiLevelType w:val="hybridMultilevel"/>
    <w:tmpl w:val="21ECAE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CAF"/>
    <w:rsid w:val="00026C2A"/>
    <w:rsid w:val="00072265"/>
    <w:rsid w:val="000832C1"/>
    <w:rsid w:val="000E1A4A"/>
    <w:rsid w:val="00124AC4"/>
    <w:rsid w:val="001C2D42"/>
    <w:rsid w:val="00267948"/>
    <w:rsid w:val="00297475"/>
    <w:rsid w:val="002D0A73"/>
    <w:rsid w:val="002E031A"/>
    <w:rsid w:val="002E169F"/>
    <w:rsid w:val="0031151B"/>
    <w:rsid w:val="00385FA4"/>
    <w:rsid w:val="003C6A5D"/>
    <w:rsid w:val="003D1BC8"/>
    <w:rsid w:val="00420605"/>
    <w:rsid w:val="00422973"/>
    <w:rsid w:val="004410AA"/>
    <w:rsid w:val="00454329"/>
    <w:rsid w:val="0045672B"/>
    <w:rsid w:val="004A26E0"/>
    <w:rsid w:val="005B5DAE"/>
    <w:rsid w:val="005F30B4"/>
    <w:rsid w:val="00673FFC"/>
    <w:rsid w:val="006A7ECF"/>
    <w:rsid w:val="006D6103"/>
    <w:rsid w:val="006F06F3"/>
    <w:rsid w:val="0075311F"/>
    <w:rsid w:val="007F2B88"/>
    <w:rsid w:val="008136F6"/>
    <w:rsid w:val="0087357F"/>
    <w:rsid w:val="00895C91"/>
    <w:rsid w:val="008B30B9"/>
    <w:rsid w:val="008E47DB"/>
    <w:rsid w:val="00956B08"/>
    <w:rsid w:val="009700D5"/>
    <w:rsid w:val="009B0AA1"/>
    <w:rsid w:val="009F1056"/>
    <w:rsid w:val="00A84FA2"/>
    <w:rsid w:val="00A906D6"/>
    <w:rsid w:val="00B52F94"/>
    <w:rsid w:val="00BA03A1"/>
    <w:rsid w:val="00BB1B90"/>
    <w:rsid w:val="00BD1CAF"/>
    <w:rsid w:val="00BD6A81"/>
    <w:rsid w:val="00C70102"/>
    <w:rsid w:val="00CD466F"/>
    <w:rsid w:val="00CE55F2"/>
    <w:rsid w:val="00D15EB2"/>
    <w:rsid w:val="00D1750C"/>
    <w:rsid w:val="00D60F82"/>
    <w:rsid w:val="00D92779"/>
    <w:rsid w:val="00DC3330"/>
    <w:rsid w:val="00DD07C0"/>
    <w:rsid w:val="00E00564"/>
    <w:rsid w:val="00EA02E3"/>
    <w:rsid w:val="00EC749C"/>
    <w:rsid w:val="00EE5685"/>
    <w:rsid w:val="00F91EB4"/>
    <w:rsid w:val="00FC6E97"/>
    <w:rsid w:val="00FC7DF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1D3141"/>
  <w15:docId w15:val="{1D78C770-C510-464F-8366-D63B7AA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1CA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BD1CAF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BD1CA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BD1CAF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BD1CAF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BD1CAF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sinformato">
    <w:name w:val="Plain Text"/>
    <w:basedOn w:val="Normal"/>
    <w:link w:val="TextosinformatoCar"/>
    <w:rsid w:val="00BD1CAF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BD1CAF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D46403-67BE-4CE3-B8C7-B01C1BC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740</Words>
  <Characters>4070</Characters>
  <Application>Microsoft Office Word</Application>
  <DocSecurity>0</DocSecurity>
  <Lines>33</Lines>
  <Paragraphs>9</Paragraphs>
  <ScaleCrop>false</ScaleCrop>
  <Company>Kompas d.d.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51</cp:revision>
  <dcterms:created xsi:type="dcterms:W3CDTF">2017-02-28T08:21:00Z</dcterms:created>
  <dcterms:modified xsi:type="dcterms:W3CDTF">2023-10-03T19:23:00Z</dcterms:modified>
</cp:coreProperties>
</file>