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SERIE BLUE</w:t>
      </w:r>
      <w:r w:rsidR="00FD7524" w:rsidRPr="004A316E">
        <w:rPr>
          <w:rFonts w:ascii="Segoe UI" w:eastAsiaTheme="minorHAnsi" w:hAnsi="Segoe UI" w:cs="Segoe UI"/>
          <w:b/>
          <w:kern w:val="0"/>
          <w:sz w:val="22"/>
          <w:szCs w:val="20"/>
          <w:lang w:val="es-ES_tradnl" w:eastAsia="en-US"/>
        </w:rPr>
        <w:tab/>
      </w:r>
      <w:r w:rsidR="00984130">
        <w:rPr>
          <w:rFonts w:ascii="Segoe UI" w:eastAsiaTheme="minorHAnsi" w:hAnsi="Segoe UI" w:cs="Segoe UI"/>
          <w:b/>
          <w:kern w:val="0"/>
          <w:sz w:val="22"/>
          <w:szCs w:val="20"/>
          <w:lang w:val="es-ES_tradnl" w:eastAsia="en-US"/>
        </w:rPr>
        <w:t>PARIS</w:t>
      </w:r>
      <w:r w:rsidR="00FD7524" w:rsidRPr="004A316E">
        <w:rPr>
          <w:rFonts w:ascii="Segoe UI" w:eastAsiaTheme="minorHAnsi" w:hAnsi="Segoe UI" w:cs="Segoe UI"/>
          <w:b/>
          <w:kern w:val="0"/>
          <w:sz w:val="22"/>
          <w:szCs w:val="20"/>
          <w:lang w:val="es-ES_tradnl" w:eastAsia="en-US"/>
        </w:rPr>
        <w:t xml:space="preserve"> – </w:t>
      </w:r>
      <w:r w:rsidR="00984130">
        <w:rPr>
          <w:rFonts w:ascii="Segoe UI" w:eastAsiaTheme="minorHAnsi" w:hAnsi="Segoe UI" w:cs="Segoe UI"/>
          <w:b/>
          <w:kern w:val="0"/>
          <w:sz w:val="22"/>
          <w:szCs w:val="20"/>
          <w:lang w:val="es-ES_tradnl" w:eastAsia="en-US"/>
        </w:rPr>
        <w:t>ROMA</w:t>
      </w:r>
    </w:p>
    <w:p w:rsidR="00FD7524" w:rsidRPr="004A316E" w:rsidRDefault="00984130" w:rsidP="00FD7524">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12</w:t>
      </w:r>
      <w:r w:rsidR="00FD7524"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984130" w:rsidRDefault="00984130" w:rsidP="00984130">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Paris</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Luxemburgo</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Rin</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Frankfurt</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Heidelberg</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Selva Negra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Zurich</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Lucerna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 xml:space="preserve">Vaduz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Munich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Innsbruck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Venecia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Roma </w:t>
      </w:r>
    </w:p>
    <w:p w:rsidR="00C0711B" w:rsidRDefault="00C0711B" w:rsidP="00C0711B">
      <w:pPr>
        <w:autoSpaceDE w:val="0"/>
        <w:autoSpaceDN w:val="0"/>
        <w:adjustRightInd w:val="0"/>
        <w:rPr>
          <w:rFonts w:ascii="Segoe UI" w:eastAsiaTheme="minorHAnsi" w:hAnsi="Segoe UI" w:cs="Segoe UI"/>
          <w:b/>
          <w:kern w:val="0"/>
          <w:sz w:val="20"/>
          <w:szCs w:val="20"/>
          <w:lang w:val="es-ES_tradnl" w:eastAsia="en-US"/>
        </w:rPr>
      </w:pP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 AMÉRICA • PARÍS (martes)</w:t>
      </w:r>
    </w:p>
    <w:p w:rsidR="0041051C" w:rsidRPr="002468BC" w:rsidRDefault="0041051C" w:rsidP="0041051C">
      <w:pPr>
        <w:autoSpaceDE w:val="0"/>
        <w:autoSpaceDN w:val="0"/>
        <w:adjustRightInd w:val="0"/>
        <w:jc w:val="both"/>
        <w:rPr>
          <w:rFonts w:ascii="Segoe UI" w:eastAsiaTheme="minorHAnsi" w:hAnsi="Segoe UI" w:cs="Segoe UI"/>
          <w:noProof w:val="0"/>
          <w:kern w:val="0"/>
          <w:sz w:val="20"/>
          <w:szCs w:val="20"/>
          <w:lang w:val="es-AR" w:eastAsia="en-US"/>
        </w:rPr>
      </w:pPr>
      <w:r w:rsidRPr="002468BC">
        <w:rPr>
          <w:rFonts w:ascii="Segoe UI" w:eastAsiaTheme="minorHAnsi" w:hAnsi="Segoe UI" w:cs="Segoe UI"/>
          <w:noProof w:val="0"/>
          <w:kern w:val="0"/>
          <w:sz w:val="20"/>
          <w:szCs w:val="20"/>
          <w:lang w:val="es-AR" w:eastAsia="en-US"/>
        </w:rPr>
        <w:t>Embarque en vuelo intercontinental hacia</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París.</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2 PARÍS (miércoles)</w:t>
      </w:r>
    </w:p>
    <w:p w:rsidR="0041051C" w:rsidRPr="002468BC" w:rsidRDefault="0041051C" w:rsidP="0041051C">
      <w:pPr>
        <w:autoSpaceDE w:val="0"/>
        <w:autoSpaceDN w:val="0"/>
        <w:adjustRightInd w:val="0"/>
        <w:jc w:val="both"/>
        <w:rPr>
          <w:rFonts w:ascii="Segoe UI" w:eastAsiaTheme="minorHAnsi" w:hAnsi="Segoe UI" w:cs="Segoe UI"/>
          <w:noProof w:val="0"/>
          <w:kern w:val="0"/>
          <w:sz w:val="20"/>
          <w:szCs w:val="20"/>
          <w:lang w:val="es-AR" w:eastAsia="en-US"/>
        </w:rPr>
      </w:pPr>
      <w:r w:rsidRPr="002468BC">
        <w:rPr>
          <w:rFonts w:ascii="Segoe UI" w:eastAsiaTheme="minorHAnsi" w:hAnsi="Segoe UI" w:cs="Segoe UI"/>
          <w:noProof w:val="0"/>
          <w:kern w:val="0"/>
          <w:sz w:val="20"/>
          <w:szCs w:val="20"/>
          <w:lang w:val="es-AR" w:eastAsia="en-US"/>
        </w:rPr>
        <w:t>Llegada al aeropuerto de París. Recepción</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y traslado al hotel. Por la noche realizaremos</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la excursión opcional para navegar en</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 crucero por el río Sena, continuando con</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 recorrido completo de París iluminado,</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una visita única en el mundo. Descubriremos</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París desde el río y disfrutaremos de</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la impresionante iluminación de sus monumentos:</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el Ayuntamiento, los Inválidos, el</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Arco del Triunfo, la Ópera, la Torre Eiffel y</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los Campos Elíseos, entre otros. Realmente</w:t>
      </w:r>
      <w:r>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 espectáculo inolvidable.</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3 PARÍS (jueves)</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Sus pequeñas y empinadas callejuelas constituyen un entramado que alberga desde los más antiguos cabarets hasta la maravillosa Basílica del Sagrado Corazón de Jesús. A continuación, realizaremos un paseo por el Barrio Latino. Tendremos también una vista espectacular de la Catedral de Notre Dame, donde entenderemos el porqué de su importancia mundial.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4 PARÍS (viernes)</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recomendaremos la excursión opcional al Palacio de Versalles y sus jardines. Realizaremos una visita interior de los aposentos reales (con entrada preferente). Descubriremos también los espectaculares Jardines de Palacio. Regreso a París. Tarde libre y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5 PARÍS • LUXEMBURGO • VALLE DEL RIN • FRANKFURT (sábado) 607 km</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Luxemburgo, importante sede de la Unión Europea. Tiempo libre. Continuaremos nuestro recorrido por el Valle del Rin, donde apreciaremos imponentes castillos germanos, así como la simbólica Roca de Loreley. Llegada a Frankfurt.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6 FRANKFURT • HEIDELBERG • SELVA NEGRA • ZÚRICH (domingo) 422 km</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Salida hacia Heidelberg, a orillas del río Neckar, donde dispondremos de tiempo libre. Viajaremos hacia el corazón de la Selva Negra, el Titisee. Tiempo libre. Continuaremos hasta las Cataratas del Rin. Realizaremos una breve parada para disfrutar de un enclave natural. Llegada a Zúrich.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7 ZÚRICH • LUCERNA • VADUZ • MÚNICH (lunes) 423 km</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Lucerna, a orillas del Lago de los Cuatro Cantones. Podremos realizar la excursión opcional al Monte Titlis, ascendiendo en teleférico a los Alpes suizos. Saldremos bordeando los Alpes hacia Vaduz, capital del principado de Liechtenstein. Tras una breve parada, salida hacia la ciudad de Múnich.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8 MÚNICH • INNSBRUCK • VERONA • VENECIA (martes) 550 km</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la ciudad de Innsbruck donde disfrutaremos de tiempo libre, para conocer el Tejadito de Oro,</w:t>
      </w:r>
    </w:p>
    <w:p w:rsidR="0041051C"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9 VENECIA • ROMA (miércoles) 527 km</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Roma.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10 ROMA (jueves)</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 xml:space="preserve">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w:t>
      </w:r>
      <w:r w:rsidRPr="008D0DAA">
        <w:rPr>
          <w:rFonts w:ascii="Segoe UI" w:eastAsiaTheme="minorHAnsi" w:hAnsi="Segoe UI" w:cs="Segoe UI"/>
          <w:kern w:val="0"/>
          <w:sz w:val="20"/>
          <w:szCs w:val="20"/>
          <w:lang w:val="es-ES_tradnl" w:eastAsia="en-US"/>
        </w:rPr>
        <w:lastRenderedPageBreak/>
        <w:t>visita nos llevará por la grandeza de los Museos Vaticanos (con entrada preferente) hasta llegar a la Capilla Sixtina. Continuaremos hacia la Basílica de San Pedro y, estando en el interior, comprenderemos su grandiosidad. Por la tarde-noche les propondremos la excursión opcional a la Roma Barroca.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11 ROMA (viernes)</w:t>
      </w:r>
    </w:p>
    <w:p w:rsidR="0041051C" w:rsidRPr="008D0DAA" w:rsidRDefault="0041051C" w:rsidP="0041051C">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41051C" w:rsidRPr="002468BC" w:rsidRDefault="0041051C" w:rsidP="0041051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12 ROMA • FLORENCIA (sábado) 345 km</w:t>
      </w:r>
    </w:p>
    <w:p w:rsidR="00984130" w:rsidRPr="0041051C" w:rsidRDefault="0041051C" w:rsidP="00984130">
      <w:pPr>
        <w:autoSpaceDE w:val="0"/>
        <w:autoSpaceDN w:val="0"/>
        <w:adjustRightInd w:val="0"/>
        <w:rPr>
          <w:rFonts w:ascii="Segoe UI" w:eastAsiaTheme="minorHAnsi" w:hAnsi="Segoe UI" w:cs="Segoe UI"/>
          <w:noProof w:val="0"/>
          <w:color w:val="000000"/>
          <w:kern w:val="0"/>
          <w:sz w:val="20"/>
          <w:szCs w:val="17"/>
          <w:lang w:val="es-AR" w:eastAsia="en-US"/>
        </w:rPr>
      </w:pPr>
      <w:r w:rsidRPr="0041051C">
        <w:rPr>
          <w:rFonts w:ascii="Segoe UI" w:eastAsiaTheme="minorHAnsi" w:hAnsi="Segoe UI" w:cs="Segoe UI"/>
          <w:noProof w:val="0"/>
          <w:color w:val="000000"/>
          <w:kern w:val="0"/>
          <w:sz w:val="20"/>
          <w:szCs w:val="17"/>
          <w:lang w:val="es-AR" w:eastAsia="en-US"/>
        </w:rPr>
        <w:t>Desayuno.</w:t>
      </w:r>
      <w:r>
        <w:rPr>
          <w:rFonts w:ascii="Segoe UI" w:eastAsiaTheme="minorHAnsi" w:hAnsi="Segoe UI" w:cs="Segoe UI"/>
          <w:noProof w:val="0"/>
          <w:color w:val="000000"/>
          <w:kern w:val="0"/>
          <w:sz w:val="20"/>
          <w:szCs w:val="17"/>
          <w:lang w:val="es-AR" w:eastAsia="en-US"/>
        </w:rPr>
        <w:t xml:space="preserve"> </w:t>
      </w:r>
      <w:r w:rsidR="00984130" w:rsidRPr="0041051C">
        <w:rPr>
          <w:rFonts w:ascii="Segoe UI" w:eastAsiaTheme="minorHAnsi" w:hAnsi="Segoe UI" w:cs="Segoe UI"/>
          <w:b/>
          <w:noProof w:val="0"/>
          <w:color w:val="000000"/>
          <w:kern w:val="0"/>
          <w:sz w:val="20"/>
          <w:szCs w:val="17"/>
          <w:lang w:val="es-AR" w:eastAsia="en-US"/>
        </w:rPr>
        <w:t>FIN DE LOS SERVICIOS.</w:t>
      </w:r>
    </w:p>
    <w:p w:rsidR="00984130" w:rsidRDefault="00984130" w:rsidP="00984130">
      <w:pPr>
        <w:autoSpaceDE w:val="0"/>
        <w:autoSpaceDN w:val="0"/>
        <w:adjustRightInd w:val="0"/>
        <w:rPr>
          <w:rFonts w:ascii="Gotham-Book" w:eastAsiaTheme="minorHAnsi" w:hAnsi="Gotham-Book" w:cs="Gotham-Book"/>
          <w:noProof w:val="0"/>
          <w:color w:val="000000"/>
          <w:kern w:val="0"/>
          <w:sz w:val="17"/>
          <w:szCs w:val="17"/>
          <w:lang w:val="es-AR" w:eastAsia="en-US"/>
        </w:rPr>
      </w:pPr>
    </w:p>
    <w:p w:rsidR="00984130" w:rsidRDefault="00984130" w:rsidP="00984130">
      <w:pPr>
        <w:autoSpaceDE w:val="0"/>
        <w:autoSpaceDN w:val="0"/>
        <w:adjustRightInd w:val="0"/>
        <w:rPr>
          <w:rFonts w:ascii="Segoe UI" w:eastAsiaTheme="minorHAnsi" w:hAnsi="Segoe UI" w:cs="Segoe UI"/>
          <w:b/>
          <w:kern w:val="0"/>
          <w:sz w:val="20"/>
          <w:szCs w:val="20"/>
          <w:lang w:val="es-ES_tradnl" w:eastAsia="en-US"/>
        </w:rPr>
      </w:pPr>
      <w:r w:rsidRPr="00984130">
        <w:rPr>
          <w:rFonts w:ascii="Segoe UI" w:eastAsiaTheme="minorHAnsi" w:hAnsi="Segoe UI" w:cs="Segoe UI"/>
          <w:b/>
          <w:kern w:val="0"/>
          <w:sz w:val="20"/>
          <w:szCs w:val="20"/>
          <w:lang w:val="es-AR" w:eastAsia="es-AR"/>
        </w:rPr>
        <w:drawing>
          <wp:inline distT="0" distB="0" distL="0" distR="0">
            <wp:extent cx="3381375" cy="230505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305050"/>
                    </a:xfrm>
                    <a:prstGeom prst="rect">
                      <a:avLst/>
                    </a:prstGeom>
                    <a:noFill/>
                    <a:ln>
                      <a:noFill/>
                    </a:ln>
                  </pic:spPr>
                </pic:pic>
              </a:graphicData>
            </a:graphic>
          </wp:inline>
        </w:drawing>
      </w:r>
    </w:p>
    <w:p w:rsidR="00984130" w:rsidRDefault="00984130" w:rsidP="00984130">
      <w:pPr>
        <w:autoSpaceDE w:val="0"/>
        <w:autoSpaceDN w:val="0"/>
        <w:adjustRightInd w:val="0"/>
        <w:rPr>
          <w:rFonts w:ascii="Segoe UI" w:eastAsiaTheme="minorHAnsi" w:hAnsi="Segoe UI" w:cs="Segoe UI"/>
          <w:b/>
          <w:kern w:val="0"/>
          <w:sz w:val="20"/>
          <w:szCs w:val="20"/>
          <w:lang w:val="es-ES_tradnl" w:eastAsia="en-US"/>
        </w:rPr>
      </w:pPr>
      <w:r w:rsidRPr="00984130">
        <w:rPr>
          <w:rFonts w:ascii="Segoe UI" w:eastAsiaTheme="minorHAnsi" w:hAnsi="Segoe UI" w:cs="Segoe UI"/>
          <w:b/>
          <w:kern w:val="0"/>
          <w:sz w:val="20"/>
          <w:szCs w:val="20"/>
          <w:lang w:val="es-AR" w:eastAsia="es-AR"/>
        </w:rPr>
        <w:drawing>
          <wp:inline distT="0" distB="0" distL="0" distR="0">
            <wp:extent cx="3381375" cy="12287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228725"/>
                    </a:xfrm>
                    <a:prstGeom prst="rect">
                      <a:avLst/>
                    </a:prstGeom>
                    <a:noFill/>
                    <a:ln>
                      <a:noFill/>
                    </a:ln>
                  </pic:spPr>
                </pic:pic>
              </a:graphicData>
            </a:graphic>
          </wp:inline>
        </w:drawing>
      </w:r>
    </w:p>
    <w:p w:rsidR="00984130" w:rsidRDefault="00984130" w:rsidP="00984130">
      <w:pPr>
        <w:autoSpaceDE w:val="0"/>
        <w:autoSpaceDN w:val="0"/>
        <w:adjustRightInd w:val="0"/>
        <w:rPr>
          <w:rFonts w:ascii="Segoe UI" w:eastAsiaTheme="minorHAnsi" w:hAnsi="Segoe UI" w:cs="Segoe UI"/>
          <w:b/>
          <w:kern w:val="0"/>
          <w:sz w:val="20"/>
          <w:szCs w:val="20"/>
          <w:lang w:val="es-ES_tradnl" w:eastAsia="en-US"/>
        </w:rPr>
      </w:pPr>
      <w:r w:rsidRPr="00984130">
        <w:rPr>
          <w:rFonts w:ascii="Segoe UI" w:eastAsiaTheme="minorHAnsi" w:hAnsi="Segoe UI" w:cs="Segoe UI"/>
          <w:b/>
          <w:kern w:val="0"/>
          <w:sz w:val="20"/>
          <w:szCs w:val="20"/>
          <w:lang w:val="es-AR" w:eastAsia="es-AR"/>
        </w:rPr>
        <w:drawing>
          <wp:inline distT="0" distB="0" distL="0" distR="0">
            <wp:extent cx="3343275" cy="175260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752600"/>
                    </a:xfrm>
                    <a:prstGeom prst="rect">
                      <a:avLst/>
                    </a:prstGeom>
                    <a:noFill/>
                    <a:ln>
                      <a:noFill/>
                    </a:ln>
                  </pic:spPr>
                </pic:pic>
              </a:graphicData>
            </a:graphic>
          </wp:inline>
        </w:drawing>
      </w:r>
    </w:p>
    <w:p w:rsidR="00984130" w:rsidRDefault="00984130" w:rsidP="00984130">
      <w:pPr>
        <w:autoSpaceDE w:val="0"/>
        <w:autoSpaceDN w:val="0"/>
        <w:adjustRightInd w:val="0"/>
        <w:rPr>
          <w:rFonts w:ascii="Segoe UI" w:eastAsiaTheme="minorHAnsi" w:hAnsi="Segoe UI" w:cs="Segoe UI"/>
          <w:b/>
          <w:kern w:val="0"/>
          <w:sz w:val="20"/>
          <w:szCs w:val="20"/>
          <w:lang w:val="es-ES_tradnl" w:eastAsia="en-US"/>
        </w:rPr>
      </w:pPr>
      <w:r w:rsidRPr="00984130">
        <w:rPr>
          <w:rFonts w:ascii="Segoe UI" w:eastAsiaTheme="minorHAnsi" w:hAnsi="Segoe UI" w:cs="Segoe UI"/>
          <w:b/>
          <w:kern w:val="0"/>
          <w:sz w:val="20"/>
          <w:szCs w:val="20"/>
          <w:lang w:val="es-AR" w:eastAsia="es-AR"/>
        </w:rPr>
        <w:drawing>
          <wp:inline distT="0" distB="0" distL="0" distR="0">
            <wp:extent cx="3305175" cy="23336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333625"/>
                    </a:xfrm>
                    <a:prstGeom prst="rect">
                      <a:avLst/>
                    </a:prstGeom>
                    <a:noFill/>
                    <a:ln>
                      <a:noFill/>
                    </a:ln>
                  </pic:spPr>
                </pic:pic>
              </a:graphicData>
            </a:graphic>
          </wp:inline>
        </w:drawing>
      </w:r>
      <w:bookmarkStart w:id="0" w:name="_GoBack"/>
      <w:bookmarkEnd w:id="0"/>
    </w:p>
    <w:sectPr w:rsidR="00984130"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06" w:rsidRDefault="00216A06" w:rsidP="00C020B9">
      <w:r>
        <w:separator/>
      </w:r>
    </w:p>
  </w:endnote>
  <w:endnote w:type="continuationSeparator" w:id="0">
    <w:p w:rsidR="00216A06" w:rsidRDefault="00216A06"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06" w:rsidRDefault="00216A06" w:rsidP="00C020B9">
      <w:r>
        <w:separator/>
      </w:r>
    </w:p>
  </w:footnote>
  <w:footnote w:type="continuationSeparator" w:id="0">
    <w:p w:rsidR="00216A06" w:rsidRDefault="00216A06"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34CC6"/>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6A06"/>
    <w:rsid w:val="00217F78"/>
    <w:rsid w:val="00225848"/>
    <w:rsid w:val="002347A7"/>
    <w:rsid w:val="00235E0B"/>
    <w:rsid w:val="00241FE0"/>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5422"/>
    <w:rsid w:val="003C39E1"/>
    <w:rsid w:val="003C3C19"/>
    <w:rsid w:val="003E29AD"/>
    <w:rsid w:val="003F142E"/>
    <w:rsid w:val="003F7FBE"/>
    <w:rsid w:val="0041051C"/>
    <w:rsid w:val="004162BF"/>
    <w:rsid w:val="0041711D"/>
    <w:rsid w:val="0042707C"/>
    <w:rsid w:val="00432B74"/>
    <w:rsid w:val="00477E2B"/>
    <w:rsid w:val="00484DA6"/>
    <w:rsid w:val="00491DC6"/>
    <w:rsid w:val="00495A2D"/>
    <w:rsid w:val="004A25E2"/>
    <w:rsid w:val="004A316E"/>
    <w:rsid w:val="004A378B"/>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90F8A"/>
    <w:rsid w:val="005A221C"/>
    <w:rsid w:val="005E264B"/>
    <w:rsid w:val="00605B4B"/>
    <w:rsid w:val="00622AFD"/>
    <w:rsid w:val="006249EF"/>
    <w:rsid w:val="0063194A"/>
    <w:rsid w:val="006376EC"/>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84130"/>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C01231"/>
    <w:rsid w:val="00C020B9"/>
    <w:rsid w:val="00C0711B"/>
    <w:rsid w:val="00C21681"/>
    <w:rsid w:val="00C226FA"/>
    <w:rsid w:val="00C34C70"/>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395D"/>
    <w:rsid w:val="00D54474"/>
    <w:rsid w:val="00D579A1"/>
    <w:rsid w:val="00D60EFA"/>
    <w:rsid w:val="00D613E0"/>
    <w:rsid w:val="00D64513"/>
    <w:rsid w:val="00D77596"/>
    <w:rsid w:val="00D80191"/>
    <w:rsid w:val="00D82499"/>
    <w:rsid w:val="00D83208"/>
    <w:rsid w:val="00D87699"/>
    <w:rsid w:val="00D9386E"/>
    <w:rsid w:val="00D96601"/>
    <w:rsid w:val="00DD6EB3"/>
    <w:rsid w:val="00E01336"/>
    <w:rsid w:val="00E1013A"/>
    <w:rsid w:val="00E54364"/>
    <w:rsid w:val="00E55D02"/>
    <w:rsid w:val="00E702DD"/>
    <w:rsid w:val="00E87863"/>
    <w:rsid w:val="00E92C5D"/>
    <w:rsid w:val="00E96FB2"/>
    <w:rsid w:val="00EA004E"/>
    <w:rsid w:val="00EB134A"/>
    <w:rsid w:val="00EB584A"/>
    <w:rsid w:val="00EE3880"/>
    <w:rsid w:val="00EE501E"/>
    <w:rsid w:val="00EE71E4"/>
    <w:rsid w:val="00F01F28"/>
    <w:rsid w:val="00F02907"/>
    <w:rsid w:val="00F10090"/>
    <w:rsid w:val="00F176FD"/>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0B16-1A8A-4269-91FB-EEB6E600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2023-11-09T20:31:00Z</dcterms:created>
  <dcterms:modified xsi:type="dcterms:W3CDTF">2023-11-10T16:21:00Z</dcterms:modified>
</cp:coreProperties>
</file>